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First steps towards tackling ‘Big Beer’</w:t>
      </w:r>
    </w:p>
    <w:p>
      <w:pPr/>
      <w:r>
        <w:rPr>
          <w:color w:val="797979"/>
          <w:sz w:val="22"/>
          <w:szCs w:val="22"/>
        </w:rPr>
        <w:t xml:space="preserve">14/09/2026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government has announced the Pubs Code for England and Wales will continue and be strengthened following its review. CAMRA chairman Ash Corbett-Collins said: “We’re glad that the Pubs Code will be kept in place, as it's needed more than ever. Ordinary drinkers are being denied choice and value by the global brewers that dominate the UK beer market, including how beer is sold to pubs. We’re looking forward to seeing the details of how more tied pub tenants might be able to challenge the beer tie. “However, we still have a supply-led beer market that is dominated by global brewers, which means that licensees, independent brewers, and ordinary drinkers lose out. “We need to see bolder reforms like guest beer rights for tied tenants, and the Department for Business must stop dragging its feet and publish the outcome of the review of access to the beer market for independent brewers.”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2026-10-22T22:12:49+01:00</dcterms:created>
  <dcterms:modified xsi:type="dcterms:W3CDTF">2026-10-22T22:12:49+01:00</dcterms:modified>
</cp:coreProperties>
</file>

<file path=docProps/custom.xml><?xml version="1.0" encoding="utf-8"?>
<Properties xmlns="http://schemas.openxmlformats.org/officeDocument/2006/custom-properties" xmlns:vt="http://schemas.openxmlformats.org/officeDocument/2006/docPropsVTypes"/>
</file>