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First steps towards tackling ‘Big Beer’</w:t>
      </w:r>
    </w:p>
    <w:p>
      <w:pPr/>
      <w:r>
        <w:rPr>
          <w:color w:val="797979"/>
          <w:sz w:val="22"/>
          <w:szCs w:val="22"/>
        </w:rPr>
        <w:t xml:space="preserve">14/09/2026 by WB Reporter</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The government has announced the Pubs Code for England and Wales will continue and be strengthened following its review. CAMRA chairman Ash Corbett-Collins said: “We’re glad that the Pubs Code will be kept in place, as it's needed more than ever. Ordinary drinkers are being denied choice and value by the global brewers that dominate the UK beer market, including how beer is sold to pubs. We’re looking forward to seeing the details of how more tied pub tenants might be able to challenge the beer tie. “However, we still have a supply-led beer market that is dominated by global brewers, which means that licensees, independent brewers, and ordinary drinkers lose out. “We need to see bolder reforms like guest beer rights for tied tenants, and the Department for Business must stop dragging its feet and publish the outcome of the review of access to the beer market for independent brewers.”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2026-10-23T01:00:55+01:00</dcterms:created>
  <dcterms:modified xsi:type="dcterms:W3CDTF">2026-10-23T01:00:55+01:00</dcterms:modified>
</cp:coreProperties>
</file>

<file path=docProps/custom.xml><?xml version="1.0" encoding="utf-8"?>
<Properties xmlns="http://schemas.openxmlformats.org/officeDocument/2006/custom-properties" xmlns:vt="http://schemas.openxmlformats.org/officeDocument/2006/docPropsVTypes"/>
</file>