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Consider the power of your words...</w:t>
      </w:r>
    </w:p>
    <w:p>
      <w:pPr/>
      <w:r>
        <w:rPr>
          <w:color w:val="797979"/>
          <w:sz w:val="22"/>
          <w:szCs w:val="22"/>
        </w:rPr>
        <w:t xml:space="preserve">14/12/2025 by David Jesudason</w:t>
      </w:r>
    </w:p>
    <w:p>
      <w:pPr/>
      <w:r>
        <w:rPr>
          <w:color w:val="ffffff"/>
          <w:sz w:val="16"/>
          <w:szCs w:val="16"/>
          <w:shd w:val="clear" w:fill="797979"/>
        </w:rPr>
        <w:t xml:space="preserve">Opinion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Let’s cut out the irresponsible comms this Christmas. Warning: this article features an account of a suicide attempt and childhood trauma. It was a Friday night and I was terrified. My dad would take me to karate lessons in a sports centre and then spend the free two hours in the bar upstairs drinking pint after pint watching TV without the sound on. It was my last lesson before Christmas. He crashed the car into a wall on the way home. I was in tears and he shouted at me not to tell my mum. I was 10 years old. He was a habitual drunk driver. It was a Saturday night and I was terrified. I moved out of home when I was only 15 years old and lived with a friend of a similar age and two other men. The men were in a gay relationship, were struggling with loneliness over Christmas and both suffered from severe depression although, at the time, I wasn’t emotionally literate enough to know what that really meant. There was an argument I could hear through a wall followed by a long silence. We had to call an ambulance as one of them had tried to kill himself. I thought about these two seemingly unconnected events that happened around Christmas within days of each other recently. I remembered my dad’s recklessness after reading a (paywalled) Telegraph article with the taunting headline “the joys of drink driving” which stated: “If a person is old enough to drink and old enough to drive a car, we must trust them to act responsibly with both.” From my bitter experience, saying this is simply irresponsible and a false assumption. My dad is not a sole exception and the British public wants better protections from people like him.  But most of all, this kind of communication is terrible in the run up to Christmas when more people are tempted into drink driving despite the messaging. Recalling the trauma caused by my dad drink driving was bad enough but only days later I was forced into recollecting my flatmate’s attempted suicide when BrewDog ran an advertising campaign with the slogan “tastes like commercial suicide”.  People with knowledge of the pub chain and Scottish brewer tell me it was rank stupidity that led to the flippant use of the word “suicide” in the run up to Christmas. Whatever its defence – and the Telegraph’s justification for the drink diving op-ed – doesn’t really matter because we can only deal with the fallout from their ill-considered words. As anyone who has read my work – especially my book on desi pubs – will attest, I am very pro-pubs as community spaces and I yearn for them to thrive. But I don’t believe this should ever be at the cost of endangering lives. (I don’t even think being anti-drink driving is anti-pubs, whatever local you want to visit there’s a way of getting there without driving or for a driver to drink alcohol-free beer.) And when it comes to breweries I want them to succeed whatever beer they sell, especially if they treat their workers well, although reports suggest that may not be the case at BrewDog. You would think that connecting suicide with beer isn’t something that anyone would knowingly do but it’s happened here. What should happen is that anyone in the drinks industry who has the privilege to have a platform should consider the power their words have and how they could endanger lives or cause mental anguish. And maybe the only way to fix this would be for the Telegraph and BrewDog to apologise, while donating to charities that battle the effects of drink driving and suicide.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2026-10-15T13:20:16+01:00</dcterms:created>
  <dcterms:modified xsi:type="dcterms:W3CDTF">2026-10-15T13:20:16+01:00</dcterms:modified>
</cp:coreProperties>
</file>

<file path=docProps/custom.xml><?xml version="1.0" encoding="utf-8"?>
<Properties xmlns="http://schemas.openxmlformats.org/officeDocument/2006/custom-properties" xmlns:vt="http://schemas.openxmlformats.org/officeDocument/2006/docPropsVTypes"/>
</file>