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36"/>
          <w:szCs w:val="36"/>
        </w:rPr>
        <w:t xml:space="preserve">CAMRA celebrates top campaigners </w:t>
      </w:r>
    </w:p>
    <w:p>
      <w:pPr/>
      <w:r>
        <w:rPr>
          <w:color w:val="797979"/>
          <w:sz w:val="22"/>
          <w:szCs w:val="22"/>
        </w:rPr>
        <w:t xml:space="preserve">21/11/2025 by WB Reporter</w:t>
      </w:r>
    </w:p>
    <w:p>
      <w:pPr/>
      <w:r>
        <w:rPr>
          <w:color w:val="ffffff"/>
          <w:sz w:val="16"/>
          <w:szCs w:val="16"/>
          <w:shd w:val="clear" w:fill="797979"/>
        </w:rPr>
        <w:t xml:space="preserve">Campaign</w:t>
      </w:r>
    </w:p>
    <w:p/>
    <w:p/>
    <w:p>
      <w:pPr/>
      <w:r>
        <w:pict>
          <v:shape type="#_x0000_t75" stroked="f" style="width:430pt; height:331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/>
    <w:p/>
    <w:p>
      <w:pPr/>
      <w:r>
        <w:rPr/>
        <w:t xml:space="preserve">Nominations have opened for CAMRA’s Campaigner of the Year award, recognising those who have gone above and beyond for pubs, pints and people.  The award celebrates a person or group whose campaigning efforts have created positive change for pubs, clubs, cask beer or real cider and perry over the past year.   The award puts a face and personality to CAMRA’s aims and goals, with members recommending those who have fought effective campaigns locally or nationally and embody the heart of a community. Nominees are judged for their leadership, impact, innovation, commitment and inclusion.  The winner will be announced next year at Members’ Weekend in St Albans, 17-19 April 2026.  Previous winners include Steve Alton, chief executive of the British Institute of Innkeeping (BII), Laura Hadland, award-winning author and What’s Brewing columnist, and Helen Anne Smith, co-founder of Burum Collective and advocate for greater equality, diversity and inclusivity in the beer and cider world.   CAMRA awards director Gary Timmins said: “With the beer and pub industry in economic turmoil, and the uncertainty of an upcoming Budget, our Campaigner of the Year award is more important than ever, putting a spotlight on those who work tirelessly to fight for cask beer, real cider or perry, and pubs, social clubs and taprooms.  “The award recognises everyone, from selfless volunteers campaigning at a grassroots level to protect and promote the industry, those in the pub or brewing trades dedicated to educating consumers, to simply a venue that you think is a really special social hub. Even celebrities and politicians who actively support our campaign asks, the awards are open to all who strive to make a difference.”  The Campaigner of the Year nomination form, plus eligibility and nomination criteria, are here. Nominations can also be sent by post c/o Campaigner of the Year, CAMRA, 230 Hatfield Road, St Albans, AL1 4LW. The nomination deadline is Friday 27 February 2026.  Pictured: Steve Alton (left) collecting his award at Members’ Weekend 2025 in Torquay from Gary Timmins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2025-11-21T10:04:32+00:00</dcterms:created>
  <dcterms:modified xsi:type="dcterms:W3CDTF">2025-11-21T10:04:32+00:00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