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Community Pub Ownership bulletin – April</w:t>
      </w:r>
    </w:p>
    <w:p>
      <w:pPr/>
      <w:r>
        <w:rPr>
          <w:color w:val="797979"/>
          <w:sz w:val="22"/>
          <w:szCs w:val="22"/>
        </w:rPr>
        <w:t xml:space="preserve">17/04/2025 by WB Reporter</w:t>
      </w:r>
    </w:p>
    <w:p>
      <w:pPr/>
      <w:r>
        <w:rPr>
          <w:color w:val="ffffff"/>
          <w:sz w:val="16"/>
          <w:szCs w:val="16"/>
          <w:shd w:val="clear" w:fill="797979"/>
        </w:rPr>
        <w:t xml:space="preserve">Campaign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This is the first of a new quarterly bulletin about community owned pubs. For more information, the community pubs webpage of CAMRA’s website contains advice and guidance as well as regularly updated information about both existing and planned community pubs. Pubs are going through a tough time, and reports of them struggling or closing are all too common. However, there’s one area of the trade, where in recent years, the news has been mainly positive and that’s community owned pubs (COP). At the latest count, there are 217, with another 28 run by their local communities and 78 campaigns to take ownership. CAMRA is fully supportive of this model and is keen to assist communities interested in going down this road. On the CAMRA website, you can find an overview on both the history of the community ownership movement and where it presently stands here. There is lots of information, including details of the operating models for COPs. The most common is the Community Benefit Society (135), followed by Private Limited Companies (49) and Community Interest Companies (14). It also explores the reasons why the model has been so successful, regularly transforming pubs written off by previous owners as terminally unviable into thriving community hubs. Looking ahead, there’s both good and bad news. The government has announced the introduction of a community right to buy scheme which will replace the right to bid process associated with Assets of Community Value. In future, if an ACV-listed property is put up for sale, a community group can exercise this new right, and a price will be set by an independent valuer. The owner will then be required to sell to the group at the set price. This will be a game-changer, as currently owners are under no obligation to sell and can just ride out ACV moratorium periods. The government has promised legislation will be introduced later this year. On the downside, the government has scrapped the Community Ownership Fund that has enabled many community groups to reach the purchase and renovation costs of their pub. CAMRA is lobbying government to reintroduce the fund or a similar scheme, otherwise the community right to buy may be a damp squib. Britannia Inn, Wells, Somerset (pictured) The Britannia Inn was closed by the Wellington Pub Company in June 2021 and was put on the market for £300,000. The East Wells Community Benefit Society has been formed to bring the pub back to life and a share offer opened on 5 April. The group aims to raise £450,000 for the purchase, repair and refurbishment of the Britannia. The share offer closes on 30 May but will be extended a further month if the target isn’t met. More information can be found at savethebritanniainnwells.org Fox, Little Ryton, Shropshire  At the end of March, campaigners announced the purchase of this village pub thanks to investment from more than 150 people and a Community Ownership Fund grant. The Fox had been shut by its previous owner in September 2022, but by the following February the community united to form a Community Benefit Society (CBS), reached a purchase agreement and launched a successful share offer. When it reopens, the pub will also serve as a community café and pop-up shop. Brockweir Inn, Wye Valley, Gloucestershire  The Brockweir Inn CBS became official owner of the pub last December. There’s plenty of renovation work to be done before the first pint is pulled but the momentum is unstoppable. The Brockweir Inn is planned to become a community hub, with accessible spaces to facilitate meetings and activities as well as events that will bring locals together. Oakbank Community Inn, Sandbank, Argyll The Oakbank Community Inn Sandbank (OCIS) group should take ownership of the pub in the next couple of weeks. It has also raised the money necessary to carry out essential repairs, employ staff and stock the bar and kitchen. The venue will be, in its own words, a “gateway to the Scottish Highlands”. Elm Tree Inn, Langton Herring, Dorset  The pub’s owner recently accepted an offer from the Friends of the Elm Tree to purchase the freehold. The group is now advertising for tenants. Crown Inn, Newcastle-on-Clun, Shropshire Through a mix of Community Ownership Fund grant, Public Works Loan Board loan and community fundraising, the Newcastle Parish Council raised funds to buy the pub in late February. Restoration work to the pub has now begun. If you have any information about community ownership developments in your area, particularly any new local campaigns, please send updates to info@communitypubs.camra.org.uk If your pub has closed or is threatened with closure, CAMRA's website has in-depth guides and resources, including those about community pub ownership, to help save your local here. Pictured: East Wells Community Benefit Society steering group members are fighting to reopen the Britannia Inn. Photo by Wells Voice.</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2025-05-20T04:00:11+01:00</dcterms:created>
  <dcterms:modified xsi:type="dcterms:W3CDTF">2025-05-20T04:00:11+01:00</dcterms:modified>
</cp:coreProperties>
</file>

<file path=docProps/custom.xml><?xml version="1.0" encoding="utf-8"?>
<Properties xmlns="http://schemas.openxmlformats.org/officeDocument/2006/custom-properties" xmlns:vt="http://schemas.openxmlformats.org/officeDocument/2006/docPropsVTypes"/>
</file>