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CAMRA brands Crooked House appeal an insult</w:t>
      </w:r>
    </w:p>
    <w:p>
      <w:pPr/>
      <w:r>
        <w:rPr>
          <w:color w:val="797979"/>
          <w:sz w:val="22"/>
          <w:szCs w:val="22"/>
        </w:rPr>
        <w:t xml:space="preserve">13/02/2025 by WB Reporter</w:t>
      </w:r>
    </w:p>
    <w:p>
      <w:pPr/>
      <w:r>
        <w:rPr>
          <w:color w:val="ffffff"/>
          <w:sz w:val="16"/>
          <w:szCs w:val="16"/>
          <w:shd w:val="clear" w:fill="797979"/>
        </w:rPr>
        <w:t xml:space="preserve">Campaign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With the appeal for the Crooked House (pictured) case set to begin on 11 March, CAMRA has said if the decision to rebuild is reversed it would make a mockery of pub protection. Pub and Club Campaigns director Gary Timmins said: “The appeal requested by the owners of the Crooked House, ATE Farms Limited, was expected but no less insulting. Accountability must be taken for the complete destruction of this iconic pub, and this hearing undermines South Staffordshire Council’s enforcement notice to rebuild it. “The Crooked House in Himley was destroyed more than 18 months ago, and this appeal delays a much-needed outcome. The UK’s wonkiest pub needs to be rebuilt, back to what it was prior to the fire, as ordered by South Staffordshire Council. If this appeal leads to this decision being reversed, it would be a complete mockery of pub protection and campaigning efforts from the local community. “The Crooked House saga lifted the lid on the wider scandal of potentially unlawful pub conversions and demolitions across the UK, and we continue to demand tighter, stronger planning policies and a requirement in law to rebuild pubs brick-by-brick.” Photo from Alamy. Do not republish.</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2025-06-17T16:22:41+01:00</dcterms:created>
  <dcterms:modified xsi:type="dcterms:W3CDTF">2025-06-17T16:22:41+01:00</dcterms:modified>
</cp:coreProperties>
</file>

<file path=docProps/custom.xml><?xml version="1.0" encoding="utf-8"?>
<Properties xmlns="http://schemas.openxmlformats.org/officeDocument/2006/custom-properties" xmlns:vt="http://schemas.openxmlformats.org/officeDocument/2006/docPropsVTypes"/>
</file>