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Goodbye to all that – it didn't last long </w:t>
      </w:r>
    </w:p>
    <w:p>
      <w:pPr/>
      <w:r>
        <w:rPr>
          <w:color w:val="797979"/>
          <w:sz w:val="22"/>
          <w:szCs w:val="22"/>
        </w:rPr>
        <w:t xml:space="preserve">08/02/2025 by Roger Protz</w:t>
      </w:r>
    </w:p>
    <w:p>
      <w:pPr/>
      <w:r>
        <w:rPr>
          <w:color w:val="ffffff"/>
          <w:sz w:val="16"/>
          <w:szCs w:val="16"/>
          <w:shd w:val="clear" w:fill="797979"/>
        </w:rPr>
        <w:t xml:space="preserve">Opinion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So, RIP Carlsberg Marston’s Brewing Company. It didn’t last long. Formed in 2020, like Monty Python’s famous parrot, it is no more and has gone to meet its maker. In January, the Danish giant bought the soft drinks company Britvic for £3.3bn. It’s one of the biggest mergers in the British drinks business and gives Carlsberg control of Pepsi Max, 7UP, Tango, Robinson’s and R White’s. That’s Robinson’s orange juice, not the family brewer in Stockport, you’ll be relieved to hear. The merger has created Carlsberg Britvic, the UK’s biggest supplier of fizzy drinks, including lager, to pubs and off-trade supermarkets and stores. Marston’s, a once-famous Burton brewer of fine beers, is now a pub company and just a sad footnote to British brewing history. In the short life of CMBC, Carlsberg – which chaired the company and controlled 60 per cent of the shares – closed or planned to close Banks’s, Jennings, Ringwood and Wychwood breweries. In common with Heineken, which has shuttered Caledonian in Edinburgh, the reason for the closures is Carlsberg’s mantra that sales of cask beer are in free fall. The Danes and the Dutch should listen to Sir Tim Martin, boss of JD Wetherspoon, who said last month that “real ale was rocking” in his pubs. It’s the same encouraging message when you turn to independent brewers. In Yorkshire, both Timothy Taylor's and Theakston say sales of cask have recovered from Covid and are on the increase. Taylor's says it’s selling more Landlord and other beers than before the pandemic. In the Peak District, Thornbridge reports that most of its production is cask and sales are strong, aided by the adoption of a Burton union fermenting system acquired from Marston’s and axed by Carlsberg. In Suffolk, Greene King has launched a series of Fresh Cask Releases seasonal beers for 2025 and is preparing to build a new brewery in Bury St Edmunds at a cost of £40m. It’s now the undisputed biggest cask beer brewery in the country. In a similar vein, Shepherd Neame in Faversham, Kent, has a monthly series of Cask Club beers alongside its regular ales Master Brew, Spitfire and Bishop’s Finger. Both Greene King and Shepherd Neame have large pub estates, and they are supplying them with regular and seasonal cask beers as a result of genuine consumer demand – a concept lost on the likes of Carlsberg and Heineken. The closure of Banks’s brewery in Wolverhampton defies logic. It’s capable of producing 100,000 barrels a year and is considered to be the giant of the Black Country, famous for its mild and bitter. When all the closures are completed, Carlsberg will own just one brewery in Burton. Even with planned expansion, it won’t be able to cope with all the beers once produced by the Marston’s group, so many much-loved beers from Jennings and Ringwood will go down the memory hole. Molson Coors, an American-Canadian conglomerate that owns Carling lager, has also wielded the axe. It has “rested” production of the famous bottle-conditioned Worthington’s White Shield at a time when IPA as a style is enjoying a world-wide renaissance. It has no interest in the beer but refuses to sell it to independent brewers who would like to take it on. It has also pulled the shutters down on the National Brewery Centre, a museum that traces the history of brewing Burton and the wider country. Britain now lacks a museum devoted to the traditions of beer making, its deep roots in society and our unique styles of ale. The closure of the centre meant the Heritage brewery had to leave the site where it recreated old Bass and Worthington beers, including a cask version of Worthington E. It was keen to take on White Shield, but Molson Coors was obdurate in its determination to own the beer but no longer produce it. Heritage has now merged with the Burton Bridge brewery and has found a new home. Another victim of Molson Coors has not been so fortunate. The Leinenkugel brewery in Chippewa Falls, Wisconsin, in the United States, is 157 years old. It was founded in 1867 by Jacob Leinenkugel from Germany who chose the site in Wisconsin as the soil was ideal for growing both grain and hops. The brewery produces traditional German-style lagers, including pale, dark and Oktoberfest, as well as a range of shandies. In 1988, the family made the serious error of selling the company to Molson Coors on the assumption the group would continue production at the original site. But MC announced last month it was closing Chippewa Falls and would move the beers to its main plant in Milwaukee. Jake and Dick Leinenkugel, the sixth generation of the family, contacted MC and said they were prepared to buy back the plant. They have not had the courtesy of a reply. The global giants are on a mission to centralise production in a few large centres and to weed out any beers that are not mainstream lagers. In Britain we are losing not only cask ales but also vital elements of our brewing heritage. I would remind the managers of the Marston’s non-brewing pub company of the medieval saying: “He who sups with the devil hath need of a long spoon”. Since writing this column, Jennings brewery has been acquired by two local entrepreneurs who plan to restart brewing at the site. read the update here.</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2025-06-02T23:30:44+01:00</dcterms:created>
  <dcterms:modified xsi:type="dcterms:W3CDTF">2025-06-02T23:30:44+01:00</dcterms:modified>
</cp:coreProperties>
</file>

<file path=docProps/custom.xml><?xml version="1.0" encoding="utf-8"?>
<Properties xmlns="http://schemas.openxmlformats.org/officeDocument/2006/custom-properties" xmlns:vt="http://schemas.openxmlformats.org/officeDocument/2006/docPropsVTypes"/>
</file>