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The low down</w:t>
      </w:r>
    </w:p>
    <w:p>
      <w:pPr/>
      <w:r>
        <w:rPr>
          <w:color w:val="797979"/>
          <w:sz w:val="22"/>
          <w:szCs w:val="22"/>
        </w:rPr>
        <w:t xml:space="preserve">18/01/2025 by Matthew Curtis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According to estimates from the British Beer and Pub Association (BBPA) more than 120m pints of low and no alcohol beer were enjoyed by British consumers in 2023. Presently the fastest growing drinks category in the country, the BBPA also estimates this figure grew by 16.7 per cent in 2024 – equal to a further 20m pints on top of the previous year’s total. As with anything, however, perspective is crucial. While the boom in high-quality, low-alcohol options is undoubtedly a net positive for drinkers, as a sum of all beer consumed in the UK it only amounts to around 1.15 per cent in total. Or, to look at it in simpler terms, slightly more than one in every 100 pints of beer sold in the UK falls into the low and no-alcohol category, which is defined as any beer containing equal to or less than 1.2 per cent alcohol by volume (ABV). There are numerous factors influencing the rapid growth of the no and low alcohol drinks category, first among them being the vastly improved quality of products available. Compared to just a few years ago, when the likes of Kaliber Lager was often a solitary, and in all honesty, deeply-unpleasant offering loitering idly in pub fridges, there are now quite literally hundreds of options available, from crisp German-style pilsners, right the way through to modern hazy IPAs. An increasing preference for low and no alcohol beer has coincided with changing consumer habits. As drinkers look to live healthier and increasingly mindful lives, many of them are looking to either moderate their alcohol input or cut it out completely. Popularised in 2024 and now included with the Collins English Dictionary, the term “zebra striping” refers to alternating between alcoholic and non-alcoholic drinks during a drinking session. But there’s another factor behind this rise that has little to do with what consumers are actually drinking: profit. All alcoholic drinks in the UK are subject to duty. This is payable by the manufacturer per litre of alcohol produced, in accordance with the changes to duty introduced by the previous Conservative government in August 2023. As part of the update to these regulations all produced beverages rated at 1.2 per cent alcohol or lower were declared exempt from duty. In many instances there is little difference in retail price between modern alcoholic and non-alcoholic options, so producers are able to claw back larger margins on these products. This could be a reason why the category has seen so many new entrants over the past 18 months, and why so many small breweries are adding no and low beers to their existing portfolios. Just this month both Cornwall’s St Austell and Derbyshire’s Thornbridge have introduced 0.5 per cent alcohol versions of their respective flagship brands: Proper Job and Jaipur. Meanwhile Manchester’s Cloudwater brewery recently informed me that its Fresh AF 0.5 per cent IPA was one of its best-selling beers of 2024. While it’s positive to see this small, yet buoyant sector of the beer trade thriving, the explosion of new low-alcohol brands feels almost endless, and one has to wonder when the market will reach its inevitable saturation point. A decade ago the industry was similarly positive about the emergence of small, independent breweries throughout the UK, but increased market pressures and inflationary costs – plus the fact that the sector was likely overburdened with too many options – has seen the net number of breweries in the UK decrease for the past four years consecutively. Most recently the Huddersfield-based Magic Rock brewery was forced to call in the administrators, despite being heralded as a trailblazer not long after it was initially established in 2011. One brewery that has pivoted in the opposite direction to the no and low alcohol boom is Manchester’s Marble Beer. In December it announced that it would be restoring the ABV of its own flagship, Pint, to its original strength of 3.9 per cent. It had previously reduced its strength to 3.4 per cent in order to take advantage of a duty break that was implemented as part of the 2023 legislation applied to beers between 3.4 and 1.2 per cent ABV. Several breweries sought to take advantage of this new loophole with Carlsberg and Grolsch among two major brands to quickly adapt to this new criterion. By reducing the ABV of its signature IPA by just 0.2 per cent, Greene King brewery of Bury St Edmunds was able to claw back a reported £7m in annual duty expenditure. Despite the obvious advantage this presents to breweries, Marble’s sales director Paul Plowman told me his customers were unhappy with the decision to reduce Pint’s strength, repeatedly asking for it to be restored to its original ABV. When the brewery eventually did, sales began to increase – evidence, maybe, that consumers still maintain plenty of appetite for mid-strength alcohol drinks. It’s certainly a reassuring bit of data for those, like me, who are all too aware that any particular boom or bust within the beer industry is only temporary, and in the end, good beer will always prevail.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2026-09-04T17:20:48+01:00</dcterms:created>
  <dcterms:modified xsi:type="dcterms:W3CDTF">2026-09-04T17:20:48+01:00</dcterms:modified>
</cp:coreProperties>
</file>

<file path=docProps/custom.xml><?xml version="1.0" encoding="utf-8"?>
<Properties xmlns="http://schemas.openxmlformats.org/officeDocument/2006/custom-properties" xmlns:vt="http://schemas.openxmlformats.org/officeDocument/2006/docPropsVTypes"/>
</file>