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The low down</w:t>
      </w:r>
    </w:p>
    <w:p>
      <w:pPr/>
      <w:r>
        <w:rPr>
          <w:color w:val="797979"/>
          <w:sz w:val="22"/>
          <w:szCs w:val="22"/>
        </w:rPr>
        <w:t xml:space="preserve">18/01/2025 by Matthew Curtis</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According to estimates from the British Beer and Pub Association (BBPA) more than 120m pints of low and no alcohol beer were enjoyed by British consumers in 2023. Presently the fastest growing drinks category in the country, the BBPA also estimates this figure grew by 16.7 per cent in 2024 – equal to a further 20m pints on top of the previous year’s total. As with anything, however, perspective is crucial. While the boom in high-quality, low-alcohol options is undoubtedly a net positive for drinkers, as a sum of all beer consumed in the UK it only amounts to around 1.15 per cent in total. Or, to look at it in simpler terms, slightly more than one in every 100 pints of beer sold in the UK falls into the low and no-alcohol category, which is defined as any beer containing equal to or less than 1.2 per cent alcohol by volume (ABV). There are numerous factors influencing the rapid growth of the no and low alcohol drinks category, first among them being the vastly improved quality of products available. Compared to just a few years ago, when the likes of Kaliber Lager was often a solitary, and in all honesty, deeply-unpleasant offering loitering idly in pub fridges, there are now quite literally hundreds of options available, from crisp German-style pilsners, right the way through to modern hazy IPAs. An increasing preference for low and no alcohol beer has coincided with changing consumer habits. As drinkers look to live healthier and increasingly mindful lives, many of them are looking to either moderate their alcohol input or cut it out completely. Popularised in 2024 and now included with the Collins English Dictionary, the term “zebra striping” refers to alternating between alcoholic and non-alcoholic drinks during a drinking session. But there’s another factor behind this rise that has little to do with what consumers are actually drinking: profit. All alcoholic drinks in the UK are subject to duty. This is payable by the manufacturer per litre of alcohol produced, in accordance with the changes to duty introduced by the previous Conservative government in August 2023. As part of the update to these regulations all produced beverages rated at 1.2 per cent alcohol or lower were declared exempt from duty. In many instances there is little difference in retail price between modern alcoholic and non-alcoholic options, so producers are able to claw back larger margins on these products. This could be a reason why the category has seen so many new entrants over the past 18 months, and why so many small breweries are adding no and low beers to their existing portfolios. Just this month both Cornwall’s St Austell and Derbyshire’s Thornbridge have introduced 0.5 per cent alcohol versions of their respective flagship brands: Proper Job and Jaipur. Meanwhile Manchester’s Cloudwater brewery recently informed me that its Fresh AF 0.5 per cent IPA was one of its best-selling beers of 2024. While it’s positive to see this small, yet buoyant sector of the beer trade thriving, the explosion of new low-alcohol brands feels almost endless, and one has to wonder when the market will reach its inevitable saturation point. A decade ago the industry was similarly positive about the emergence of small, independent breweries throughout the UK, but increased market pressures and inflationary costs – plus the fact that the sector was likely overburdened with too many options – has seen the net number of breweries in the UK decrease for the past four years consecutively. Most recently the Huddersfield-based Magic Rock brewery was forced to call in the administrators, despite being heralded as a trailblazer not long after it was initially established in 2011. One brewery that has pivoted in the opposite direction to the no and low alcohol boom is Manchester’s Marble Beer. In December it announced that it would be restoring the ABV of its own flagship, Pint, to its original strength of 3.9 per cent. It had previously reduced its strength to 3.4 per cent in order to take advantage of a duty break that was implemented as part of the 2023 legislation applied to beers between 3.4 and 1.2 per cent ABV. Several breweries sought to take advantage of this new loophole with Carlsberg and Grolsch among two major brands to quickly adapt to this new criterion. By reducing the ABV of its signature IPA by just 0.2 per cent, Greene King brewery of Bury St Edmunds was able to claw back a reported £7m in annual duty expenditure. Despite the obvious advantage this presents to breweries, Marble’s sales director Paul Plowman told me his customers were unhappy with the decision to reduce Pint’s strength, repeatedly asking for it to be restored to its original ABV. When the brewery eventually did, sales began to increase – evidence, maybe, that consumers still maintain plenty of appetite for mid-strength alcohol drinks. It’s certainly a reassuring bit of data for those, like me, who are all too aware that any particular boom or bust within the beer industry is only temporary, and in the end, good beer will always prevail.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2026-11-03T17:11:59+00:00</dcterms:created>
  <dcterms:modified xsi:type="dcterms:W3CDTF">2026-11-03T17:11:59+00:00</dcterms:modified>
</cp:coreProperties>
</file>

<file path=docProps/custom.xml><?xml version="1.0" encoding="utf-8"?>
<Properties xmlns="http://schemas.openxmlformats.org/officeDocument/2006/custom-properties" xmlns:vt="http://schemas.openxmlformats.org/officeDocument/2006/docPropsVTypes"/>
</file>