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Sunderland pub celebrates three decades in top guide </w:t>
      </w:r>
    </w:p>
    <w:p>
      <w:pPr/>
      <w:r>
        <w:rPr>
          <w:color w:val="797979"/>
          <w:sz w:val="22"/>
          <w:szCs w:val="22"/>
        </w:rPr>
        <w:t xml:space="preserve">04/11/2022 by Ken Paul</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launch of the 2023 Good Beer Guide prompted Sunderland &amp; South Tyneside CAMRA branch to mark the remarkable achievement of one of its pubs which notched up its 30th listing. At the guide’s launch in Fitzgerald's in Sunderland city centre, Fitzys’ manager Matty Downes was presented with a certificate to mark the 30 continuous years in the guide by branch chair Ian Monteith Preston. Pictured: Matty Downes, left, receives Fitzys’ award from Ian Monteith Preston.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2026-08-14T08:10:52+01:00</dcterms:created>
  <dcterms:modified xsi:type="dcterms:W3CDTF">2026-08-14T08:10:52+01:00</dcterms:modified>
</cp:coreProperties>
</file>

<file path=docProps/custom.xml><?xml version="1.0" encoding="utf-8"?>
<Properties xmlns="http://schemas.openxmlformats.org/officeDocument/2006/custom-properties" xmlns:vt="http://schemas.openxmlformats.org/officeDocument/2006/docPropsVTypes"/>
</file>