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Top guide’s star turn</w:t>
      </w:r>
    </w:p>
    <w:p>
      <w:pPr/>
      <w:r>
        <w:rPr>
          <w:color w:val="797979"/>
          <w:sz w:val="22"/>
          <w:szCs w:val="22"/>
        </w:rPr>
        <w:t xml:space="preserve">02/11/2022 by John 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CAMRA marks the publication of the 50th edition of the Good Beer Guide, the Campaign has urged brewers and pub operators to use “the carrot, not the stick” when it comes to boosting flagging cask ale sales. At an event celebrating the publication, CAMRA chief executive Tom Stainer said suggestions cask could be removed from pubs found to be keeping and serving it poorly should be approached with caution. Discussion among some industry bodies about falling cask sales has focused on quality. Among the speakers at the launch held at the Star Tavern in London’s Belgravia, was Paul Nunny, director of guide sponsor Cask Marque. Nunny said some of the decline in cask sales post-lockdown is because “a lot of pubs are destocking, which is not a bad thing, because if they’re not serious about it, the quality deteriorates and the consumer’s going to be disappointed.” Tom said: “Every pub should be offering really well-made cask beer. That’s what CAMRA wants to see, and so it should be the carrot, not the stick. Get the quality of cask ale right, serve it well, and people will love it. We should support pubs to do that.”   He added that rather than simply call for cask to be sold at a higher price, as some brewers have, pubs should approach it as they do the wine list, with ascending price points. “Cask ale doesn’t always have to be the cheapest beer on the bar, but it should have accessible pricing, and really well-made, special beers should be priced in the same way as specialist lagers or wines.” The Star, owned by Fuller’s, is one of just five pubs that have been in every edition of the guide since it first appeared in 1974. Fuller’s chief executive Simon Emeny said cask accounts for 25 per cent of beer sales in its estate, and the business recognises real ale drinkers pick the pub for a bigger group. “If you let yourself down with the range or quality of cask beer, that group will give the pub a wide berth.” The guide also continues to expand the range of venues it includes. CAMRA Croydon and Sutton branch chair Dave Lands said of the new listing this year for the Cryer Arts theatre in Carshalton, Surrey: “It doesn’t feel like just a theatre bar, it’s also a great place to meet for a pint.” Pictured from left: Simon Emeny, Paul Nunny, Tom Stainer and CAMRA London director Geoff Strawbridge.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2026-10-15T04:53:34+01:00</dcterms:created>
  <dcterms:modified xsi:type="dcterms:W3CDTF">2026-10-15T04:53:34+01:00</dcterms:modified>
</cp:coreProperties>
</file>

<file path=docProps/custom.xml><?xml version="1.0" encoding="utf-8"?>
<Properties xmlns="http://schemas.openxmlformats.org/officeDocument/2006/custom-properties" xmlns:vt="http://schemas.openxmlformats.org/officeDocument/2006/docPropsVTypes"/>
</file>